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8" w:rsidRPr="00193F6F" w:rsidRDefault="00652648">
      <w:pPr>
        <w:rPr>
          <w:rFonts w:ascii="Times New Roman" w:hAnsi="Times New Roman" w:cs="Times New Roman"/>
          <w:b/>
          <w:sz w:val="20"/>
          <w:szCs w:val="20"/>
        </w:rPr>
      </w:pPr>
      <w:r w:rsidRPr="00193F6F">
        <w:rPr>
          <w:rFonts w:ascii="Times New Roman" w:hAnsi="Times New Roman" w:cs="Times New Roman"/>
          <w:b/>
          <w:sz w:val="20"/>
          <w:szCs w:val="20"/>
        </w:rPr>
        <w:t>Объявление о проведении закупа</w:t>
      </w:r>
      <w:r w:rsidR="0002356F"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F6F" w:rsidRPr="00193F6F">
        <w:rPr>
          <w:rFonts w:ascii="Times New Roman" w:hAnsi="Times New Roman" w:cs="Times New Roman"/>
          <w:b/>
          <w:sz w:val="20"/>
          <w:szCs w:val="20"/>
        </w:rPr>
        <w:t>реагент</w:t>
      </w:r>
      <w:r w:rsidR="00193F6F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996553">
        <w:rPr>
          <w:rFonts w:ascii="Times New Roman" w:hAnsi="Times New Roman" w:cs="Times New Roman"/>
          <w:b/>
          <w:sz w:val="20"/>
          <w:szCs w:val="20"/>
        </w:rPr>
        <w:t xml:space="preserve">Экспресс лаборатории  для </w:t>
      </w:r>
      <w:proofErr w:type="spellStart"/>
      <w:r w:rsidR="00996553">
        <w:rPr>
          <w:rFonts w:ascii="Times New Roman" w:hAnsi="Times New Roman" w:cs="Times New Roman"/>
          <w:b/>
          <w:sz w:val="20"/>
          <w:szCs w:val="20"/>
        </w:rPr>
        <w:t>К</w:t>
      </w:r>
      <w:r w:rsidR="00193F6F" w:rsidRPr="00193F6F">
        <w:rPr>
          <w:rFonts w:ascii="Times New Roman" w:hAnsi="Times New Roman" w:cs="Times New Roman"/>
          <w:b/>
          <w:sz w:val="20"/>
          <w:szCs w:val="20"/>
        </w:rPr>
        <w:t>оагулометр</w:t>
      </w:r>
      <w:r w:rsidR="00193F6F"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 w:rsidR="009965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553" w:rsidRPr="00996553">
        <w:rPr>
          <w:rFonts w:ascii="Times New Roman" w:hAnsi="Times New Roman" w:cs="Times New Roman"/>
          <w:b/>
          <w:sz w:val="20"/>
          <w:szCs w:val="20"/>
        </w:rPr>
        <w:t>TS4000</w:t>
      </w:r>
    </w:p>
    <w:p w:rsidR="00652648" w:rsidRPr="00193F6F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3F6F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>»,</w:t>
      </w:r>
      <w:r w:rsidRPr="00193F6F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</w:t>
      </w:r>
      <w:proofErr w:type="gramStart"/>
      <w:r w:rsidRPr="00193F6F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193F6F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9380" w:type="dxa"/>
        <w:tblLayout w:type="fixed"/>
        <w:tblLook w:val="04A0" w:firstRow="1" w:lastRow="0" w:firstColumn="1" w:lastColumn="0" w:noHBand="0" w:noVBand="1"/>
      </w:tblPr>
      <w:tblGrid>
        <w:gridCol w:w="545"/>
        <w:gridCol w:w="1406"/>
        <w:gridCol w:w="3260"/>
        <w:gridCol w:w="779"/>
        <w:gridCol w:w="829"/>
        <w:gridCol w:w="1276"/>
        <w:gridCol w:w="1285"/>
      </w:tblGrid>
      <w:tr w:rsidR="00195876" w:rsidRPr="00D21105" w:rsidTr="00144ADE">
        <w:trPr>
          <w:trHeight w:val="2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№ лота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Техническая характеристика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4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 xml:space="preserve"> Кол</w:t>
            </w:r>
            <w:r w:rsidR="00144ADE" w:rsidRPr="00144A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-</w:t>
            </w: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 xml:space="preserve">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 xml:space="preserve"> Цена за ед. в тенге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 xml:space="preserve"> Сумма в тенге                   </w:t>
            </w:r>
          </w:p>
        </w:tc>
      </w:tr>
      <w:tr w:rsidR="00195876" w:rsidRPr="00D21105" w:rsidTr="00144ADE">
        <w:trPr>
          <w:trHeight w:val="75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Реакционные кюветы  для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коагулометра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TS4000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 - Емкость для измерения свертываемости крови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Материал изготовления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–П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ластик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кюветы - 2,94 г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Вид кювет  - Соединены по 4 штуки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Размеры блока кювет  (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*  длина * ширина) 30 * 65 * 16 мм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Линейные размеры ячейки кюветы (длина * ширина) 12 *12 мм Количество штук в упаковке – 700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Срок годности - Не ограничен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135 000,00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405 000,00   </w:t>
            </w:r>
          </w:p>
        </w:tc>
      </w:tr>
      <w:tr w:rsidR="00195876" w:rsidRPr="00D21105" w:rsidTr="00144ADE">
        <w:trPr>
          <w:trHeight w:val="123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Шарики стальные для   фиксации времени  образования сгустка для 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коагулометра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TS1000,  TS4000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Назначение: Используются для определения свертываемости крови в анализаторе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Материал изготовления -  Металл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Вес шарика - 55 мг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Размер шарика (диаметр) - 0,24 см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Количество </w:t>
            </w:r>
            <w:proofErr w:type="spellStart"/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1600,   Срок работы - 5 лет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11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80 000,00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160 000,00   </w:t>
            </w:r>
          </w:p>
        </w:tc>
      </w:tr>
      <w:tr w:rsidR="00195876" w:rsidRPr="00D21105" w:rsidTr="00144ADE">
        <w:trPr>
          <w:trHeight w:val="41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1, набор реагентов 1х1мл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и описание изделия: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Материал получен из человеческой плазмы, собранной с использованием антикоагулянта цитрата натрия (0,4%). Контроли 2 и 3дают удлиненные относительно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нормальных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 АЧТВ и ПВ. Контрольные материалы также содержат стабилизаторы и буферы, добавленные перед лиофилизацией (&lt;1,0%)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ПРИНЦИП МЕТОДА.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Использование контрольных материалов позволяет обеспечивать уверенность в правильности получаемых результатов.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Нормальный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1 предназначен для оценки точности определения таких параметров, как ПВ, АЧТВ, TT** и фибриногена. 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 применения  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Реагент хранить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30 дней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Срок годности:  1 год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Контроли и реагенты одного производителя.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17 500,00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35 000,00   </w:t>
            </w:r>
          </w:p>
        </w:tc>
      </w:tr>
      <w:tr w:rsidR="00195876" w:rsidRPr="00D21105" w:rsidTr="00144ADE">
        <w:trPr>
          <w:trHeight w:val="6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2, набор реагентов 1х1мл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и описание изделия: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Материал получен из человеческой плазмы, собранной с использованием антикоагулянта цитрата натрия (0,4%).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Контроли 2 и 3дают удлиненные относительно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нормальных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значения АЧТВ и ПВ. Контрольные материалы также содержат стабилизаторы и буферы, добавленные перед лиофилизацией (&lt;1,0%)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ПРИНЦИП МЕТОДА.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Использование контрольных материалов позволяет обеспечивать уверенность в правильности получаемых результатов.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Нормальный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1 предназначен для оценки точности определения таких параметров, как ПВ, АЧТВ, TT** и фибриногена. 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 применения  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Реагент хранить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30 дней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Срок годности:  1 год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Контроли и реагенты одного производителя.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17 500,00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35 000,00   </w:t>
            </w:r>
          </w:p>
        </w:tc>
      </w:tr>
      <w:tr w:rsidR="00195876" w:rsidRPr="00D21105" w:rsidTr="00144ADE">
        <w:trPr>
          <w:trHeight w:val="296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реагентов для определения содержания фибриногена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Тромбиновый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реагент (для реагента фибриногена) 6х2мл + плазма для определения фибриногена 1х1мл + Буфер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имидазоловый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2х75мл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и описание изделия: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АЧТВ реагент 5×2.0мл.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АЧТВ реагент: 0,1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эллаговой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кислоты, буферы, соли и стабилизаторы.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Кальция хлорид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CaCl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5х2мл.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Кальция хлорид (0,025М). Кальция хлорид (0.025 M): 0,025М  раствор хлорида кальция, 0,1% азида натрия и стабилизаторы.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ПРИНЦИП МЕТОДА.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Тест АЧТВ относится к традиционным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скрининговым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коагулологическим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тестам и используется для обнаружения патологий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внутреннегои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путей свертывания крови, а также острых функциональных нарушениях факторов II, V, X и фибриногена. Определение АЧТВ может проводиться с целью мониторинга эффективности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гепаринотерапии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поскольку удлинение АЧТВ пропорционально уровню гепарина в пробе.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Тест АЧТВ проводится с помощью добавления к исследуемой цитратной плазме реагента, содержащего активатор внутреннего каскада свертывания и фосфолипиды.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Реагентнаясмесь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инкубируется в течение 3 минут при 37° C, после чего в нее добавляют ионы кальция, запускающие процесс свертывания, и определяют время образования фибринового сгустка.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Область применения - 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1. Реагент хранить при температуре + 2 до + 8.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30 дней при температуре + 2 до + 8.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br w:type="page"/>
              <w:t xml:space="preserve">Срок годности: 1годПРИНЦИП МЕТОДА.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Метод определения содержания фибриногена с помощью измерения времени образования сгустка основан на методе, описанном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Клауссом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присутствии высоких концентраций тромбина время образования фибринового сгустка  пропорционально концентрации фибриногена в пробе.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Область применения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1. Реагент хранить при температуре + 2 до + 8.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30 дней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Срок годности:  1 год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78 750,00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630 000,00   </w:t>
            </w:r>
          </w:p>
        </w:tc>
      </w:tr>
      <w:tr w:rsidR="00195876" w:rsidRPr="00D21105" w:rsidTr="00144ADE">
        <w:trPr>
          <w:trHeight w:val="154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реагентов для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определения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Активированного Частичного 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Тромбопластинового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Времени 5х2мл, кальция   хлорид 5*2ml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и описание изделия: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АЧТВ реагент 5×2.0мл.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АЧТВ реагент: 0,1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эллаговой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кислоты, буферы, соли и стабилизаторы.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Кальция хлорид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CaCl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5х2мл.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Кальция хлорид (0,025М). Кальция хлорид (0.025 M): 0,025М  раствор хлорида кальция, 0,1% азида натрия и стабилизаторы.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ПРИНЦИП МЕТОДА.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Тест АЧТВ относится к традиционным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скрининговым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коагулологическим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тестам и используется для обнаружения патологий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внутреннегои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путей свертывания крови, а также острых функциональных нарушениях факторов II, V, X и фибриногена. Определение АЧТВ может проводиться с целью мониторинга эффективности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гепаринотерапии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поскольку удлинение АЧТВ пропорционально уровню гепарина в пробе.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Тест АЧТВ проводится с помощью добавления к исследуемой цитратной плазме реагента, содержащего активатор внутреннего каскада свертывания и фосфолипиды.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Реагентнаясмесь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инкубируется в течение 3 минут при 37° C, после чего в нее добавляют ионы кальция, запускающие процесс свертывания, и определяют время образования фибринового сгустка.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 применения - 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Реагент хранить при температуре + 2 до + 8.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30 дней при температуре + 2 до + 8.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Срок годности: 1год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Контроли и реагенты одного производителя.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19 250,00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173 250,00   </w:t>
            </w:r>
          </w:p>
        </w:tc>
      </w:tr>
      <w:tr w:rsidR="00195876" w:rsidRPr="00D21105" w:rsidTr="00144ADE">
        <w:trPr>
          <w:trHeight w:val="3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реагентов для  определения 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Протромбинового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времени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- пробы сыворотка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Метод -  IFCC, кинетика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Химический состав реагента, раствора Состав готового раствора: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L-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Аланин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500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ЛДГ    &gt;1200 </w:t>
            </w:r>
            <w:proofErr w:type="spellStart"/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Трис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-буфер, рН 7,5  100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2-Оксоглутарат  15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NADH (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Динатриевая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соль) 0,18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/л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Азид натрия (0,2%), стабилизаторы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Длина волны - 340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Рабочая температура для ручного метода определения, С - 37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Длительность анализа, минут - 3 Стабильность готового раствора, суток -14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Условия хранения - 2-8 гр.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Линейность - 0-500 МЕ/л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Чувствительность - 1,8 МЕ/л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Форм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жидкая, готов к использованию Состав набора -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биреагент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Фасовка - 1x100 мл реагент R1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1x20 мл реагент R2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11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21 750,00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326 250,00   </w:t>
            </w:r>
          </w:p>
        </w:tc>
      </w:tr>
      <w:tr w:rsidR="00195876" w:rsidRPr="00D21105" w:rsidTr="00144ADE">
        <w:trPr>
          <w:trHeight w:val="49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реагентов для определения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времени(, 5x2мл, 5)/ HT-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Coag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Thrombin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Time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Reagent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kit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(, 5x2ml)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и описание изделия: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Тромбин реагент: 5×2ml,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 Тромбин реагент содержит жидкий стандартизованный бычий тромбин, бычий альбумин, буферы и стабилизаторы.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ПРИНЦИП МЕТОДА.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Определение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времени (ТВ) обычно используется для: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- мониторинга терапии высокомолекулярным гепарином;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- мониторинга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фибринолитической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терапии;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-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скрининговых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обследований с целью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обнаружения нарушений процессов формирования фибрина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при подозрениях на острый дефицит фибриногена;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- дифференциальной диагностики между гепарин индуцированным удлинением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времени и патологиями в процессах формирования фибринового сгустка. Показано, что удлинение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времени наблюдается не только при наличии патологий процесса полимеризации фибрина, но и при наличии гепарина в пробе. Тромбин превращает фибриноген, содержащийся в плазме, в фибрин, из которого формируется сгусток. Измеряется время образования фибринового сгустка.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Наименование и (или) товарный знак организации-производителя: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(США)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Область применения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1. Реагент хранить при температуре + 2 до + 8. НЕ ЗАМОРАЖИВАТЬ!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30 дней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Срок годности: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1 год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15,00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11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48 250,00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723 750,00   </w:t>
            </w:r>
          </w:p>
        </w:tc>
      </w:tr>
      <w:tr w:rsidR="00195876" w:rsidRPr="00D21105" w:rsidTr="00144ADE">
        <w:trPr>
          <w:trHeight w:val="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Плазма-калибратор, набор реагентов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(1x1ml) / HT-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Coag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Calibration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Plasma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kit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(1x1ml)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 и описание изделия: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Калибровочная плазма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Фасовка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×1 мл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Материал получен из человеческой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плазмы, содержащей антикоагулянт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цитрата натрия (0,4%). Реагент также содержит стабилизаторы и буферы,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добавленные перед лиофилизацией (&lt;1,0%)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ПРИНЦИП МЕТОДА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Калибровочная плазма приготовлена из цитратных плазм здоровых доноров при помощи специальных процессов, сохраняющих нормальные показатели пула плазм. Калибровочная плазма разработана для калибровки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коагулометрических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систем. Плазма предназначена для калибровки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коагулометров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выполнении тестов по определению ПВ и фибриногена. Калибровочная плазма также используется в качестве нормального контроля при определении активированного частичного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тромбопластинового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времени (АЧТВ) и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тромбинового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времени (ТВ).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Наименование и (или) товарный знак организации-производителя: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Technology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</w:t>
            </w:r>
            <w:proofErr w:type="spell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(США)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Область применения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Клиническая и лабораторная диагностика.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Условия хранения: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1. Реагент хранить при температуре + 2 до + 8.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При открытий реагент стабилен </w:t>
            </w:r>
            <w:proofErr w:type="gramStart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течений 8 часов при температуре + 2 до + 8.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Срок годности: </w:t>
            </w:r>
            <w:r w:rsidRPr="001958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11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17 500,00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76" w:rsidRPr="00195876" w:rsidRDefault="00144ADE" w:rsidP="0019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195876" w:rsidRPr="001958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17 500,00   </w:t>
            </w:r>
          </w:p>
        </w:tc>
      </w:tr>
      <w:tr w:rsidR="00195876" w:rsidRPr="00D21105" w:rsidTr="00D21105">
        <w:trPr>
          <w:trHeight w:val="281"/>
        </w:trPr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76" w:rsidRPr="00195876" w:rsidRDefault="00195876" w:rsidP="00144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 </w:t>
            </w:r>
            <w:r w:rsidRPr="00195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76" w:rsidRPr="00195876" w:rsidRDefault="00195876" w:rsidP="0019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5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2 505 750,00</w:t>
            </w:r>
          </w:p>
        </w:tc>
      </w:tr>
    </w:tbl>
    <w:p w:rsidR="00316301" w:rsidRPr="00193F6F" w:rsidRDefault="00316301" w:rsidP="00652648">
      <w:pPr>
        <w:rPr>
          <w:rFonts w:ascii="Times New Roman" w:hAnsi="Times New Roman" w:cs="Times New Roman"/>
          <w:sz w:val="20"/>
          <w:szCs w:val="20"/>
        </w:rPr>
      </w:pPr>
    </w:p>
    <w:p w:rsidR="00652648" w:rsidRPr="00193F6F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193F6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3F6F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3F6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3F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3F6F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3F6F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193F6F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3F6F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193F6F">
        <w:rPr>
          <w:rFonts w:ascii="Times New Roman" w:hAnsi="Times New Roman" w:cs="Times New Roman"/>
          <w:sz w:val="20"/>
          <w:szCs w:val="20"/>
        </w:rPr>
        <w:t>2</w:t>
      </w:r>
      <w:r w:rsidRPr="00193F6F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3F6F">
        <w:rPr>
          <w:rFonts w:ascii="Times New Roman" w:hAnsi="Times New Roman" w:cs="Times New Roman"/>
          <w:sz w:val="20"/>
          <w:szCs w:val="20"/>
        </w:rPr>
        <w:t>Заявки на участие в ЗЦП в запечатанном виде предоставляются (направляются) потенциальными поставщиками по адрес</w:t>
      </w:r>
      <w:r w:rsidR="006A689C">
        <w:rPr>
          <w:rFonts w:ascii="Times New Roman" w:hAnsi="Times New Roman" w:cs="Times New Roman"/>
          <w:sz w:val="20"/>
          <w:szCs w:val="20"/>
        </w:rPr>
        <w:t xml:space="preserve">у: </w:t>
      </w:r>
      <w:proofErr w:type="spellStart"/>
      <w:r w:rsidR="006A689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6A689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6A689C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6A68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689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6A689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689C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6A689C">
        <w:rPr>
          <w:rFonts w:ascii="Times New Roman" w:hAnsi="Times New Roman" w:cs="Times New Roman"/>
          <w:sz w:val="20"/>
          <w:szCs w:val="20"/>
        </w:rPr>
        <w:t xml:space="preserve"> 2а, ГК</w:t>
      </w:r>
      <w:r w:rsidR="00316301" w:rsidRPr="00193F6F">
        <w:rPr>
          <w:rFonts w:ascii="Times New Roman" w:hAnsi="Times New Roman" w:cs="Times New Roman"/>
          <w:sz w:val="20"/>
          <w:szCs w:val="20"/>
        </w:rPr>
        <w:t>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193F6F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3F6F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193F6F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3F6F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4D4206">
        <w:rPr>
          <w:rFonts w:ascii="Times New Roman" w:hAnsi="Times New Roman" w:cs="Times New Roman"/>
          <w:sz w:val="20"/>
          <w:szCs w:val="20"/>
        </w:rPr>
        <w:t>21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" </w:t>
      </w:r>
      <w:r w:rsidR="00996553">
        <w:rPr>
          <w:rFonts w:ascii="Times New Roman" w:hAnsi="Times New Roman" w:cs="Times New Roman"/>
          <w:sz w:val="20"/>
          <w:szCs w:val="20"/>
        </w:rPr>
        <w:t>ноября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193F6F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3F6F" w:rsidRDefault="00E35831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193F6F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3F6F">
        <w:rPr>
          <w:rFonts w:ascii="Times New Roman" w:hAnsi="Times New Roman" w:cs="Times New Roman"/>
          <w:sz w:val="20"/>
          <w:szCs w:val="20"/>
        </w:rPr>
        <w:t>Конверты с ЗЦП будут вскрываться в 11:00 часов "</w:t>
      </w:r>
      <w:r w:rsidR="004D4206">
        <w:rPr>
          <w:rFonts w:ascii="Times New Roman" w:hAnsi="Times New Roman" w:cs="Times New Roman"/>
          <w:sz w:val="20"/>
          <w:szCs w:val="20"/>
        </w:rPr>
        <w:t>21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" </w:t>
      </w:r>
      <w:r w:rsidR="00996553">
        <w:rPr>
          <w:rFonts w:ascii="Times New Roman" w:hAnsi="Times New Roman" w:cs="Times New Roman"/>
          <w:sz w:val="20"/>
          <w:szCs w:val="20"/>
        </w:rPr>
        <w:t xml:space="preserve">ноября 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 2022 года по следующему адресу </w:t>
      </w:r>
      <w:proofErr w:type="spellStart"/>
      <w:r w:rsidR="00316301" w:rsidRPr="00193F6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3F6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3F6F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3F6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3F6F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193F6F">
        <w:rPr>
          <w:rFonts w:ascii="Times New Roman" w:hAnsi="Times New Roman" w:cs="Times New Roman"/>
          <w:sz w:val="20"/>
          <w:szCs w:val="20"/>
        </w:rPr>
        <w:t>.</w:t>
      </w:r>
      <w:bookmarkStart w:id="0" w:name="z40"/>
      <w:bookmarkEnd w:id="0"/>
    </w:p>
    <w:p w:rsidR="007935BF" w:rsidRPr="00193F6F" w:rsidRDefault="00996553" w:rsidP="009C3D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начальника</w:t>
      </w:r>
      <w:r w:rsidR="007935BF" w:rsidRPr="00193F6F">
        <w:rPr>
          <w:rFonts w:ascii="Times New Roman" w:hAnsi="Times New Roman" w:cs="Times New Roman"/>
          <w:b/>
          <w:sz w:val="20"/>
          <w:szCs w:val="20"/>
        </w:rPr>
        <w:t xml:space="preserve"> отдела закупок</w:t>
      </w:r>
      <w:r w:rsidR="007935BF" w:rsidRPr="00193F6F">
        <w:rPr>
          <w:rFonts w:ascii="Times New Roman" w:hAnsi="Times New Roman" w:cs="Times New Roman"/>
          <w:b/>
          <w:sz w:val="20"/>
          <w:szCs w:val="20"/>
        </w:rPr>
        <w:tab/>
      </w:r>
      <w:r w:rsidR="007935BF" w:rsidRPr="00193F6F">
        <w:rPr>
          <w:rFonts w:ascii="Times New Roman" w:hAnsi="Times New Roman" w:cs="Times New Roman"/>
          <w:b/>
          <w:sz w:val="20"/>
          <w:szCs w:val="20"/>
        </w:rPr>
        <w:tab/>
      </w:r>
      <w:r w:rsidR="007935BF" w:rsidRPr="00193F6F">
        <w:rPr>
          <w:rFonts w:ascii="Times New Roman" w:hAnsi="Times New Roman" w:cs="Times New Roman"/>
          <w:b/>
          <w:sz w:val="20"/>
          <w:szCs w:val="20"/>
        </w:rPr>
        <w:tab/>
      </w:r>
      <w:bookmarkStart w:id="1" w:name="_GoBack"/>
      <w:bookmarkEnd w:id="1"/>
      <w:r w:rsidR="007935BF" w:rsidRPr="00193F6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Нахметова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А.М.</w:t>
      </w:r>
    </w:p>
    <w:sectPr w:rsidR="007935BF" w:rsidRPr="0019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144ADE"/>
    <w:rsid w:val="00193F6F"/>
    <w:rsid w:val="00195876"/>
    <w:rsid w:val="00316301"/>
    <w:rsid w:val="004D4206"/>
    <w:rsid w:val="005E21E9"/>
    <w:rsid w:val="00652648"/>
    <w:rsid w:val="006A689C"/>
    <w:rsid w:val="007935BF"/>
    <w:rsid w:val="008851ED"/>
    <w:rsid w:val="00996553"/>
    <w:rsid w:val="009C3DC2"/>
    <w:rsid w:val="00A86CC0"/>
    <w:rsid w:val="00B033BB"/>
    <w:rsid w:val="00B533B6"/>
    <w:rsid w:val="00CC42AE"/>
    <w:rsid w:val="00D03B09"/>
    <w:rsid w:val="00D21105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Gennadiy</cp:lastModifiedBy>
  <cp:revision>10</cp:revision>
  <cp:lastPrinted>2022-02-21T09:03:00Z</cp:lastPrinted>
  <dcterms:created xsi:type="dcterms:W3CDTF">2022-05-06T04:45:00Z</dcterms:created>
  <dcterms:modified xsi:type="dcterms:W3CDTF">2022-11-18T05:50:00Z</dcterms:modified>
</cp:coreProperties>
</file>